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CFE96" w14:textId="11AE6B72" w:rsidR="005C64CC" w:rsidRPr="006034A1" w:rsidRDefault="00A01671" w:rsidP="006034A1">
      <w:pPr>
        <w:pStyle w:val="Sinespaciado"/>
        <w:jc w:val="center"/>
        <w:rPr>
          <w:rFonts w:ascii="Arial" w:hAnsi="Arial" w:cs="Arial"/>
          <w:b/>
          <w:noProof/>
          <w:color w:val="000000" w:themeColor="text1"/>
          <w:sz w:val="20"/>
          <w:szCs w:val="20"/>
          <w:lang w:val="es-ES" w:eastAsia="es-ES"/>
        </w:rPr>
      </w:pPr>
      <w:bookmarkStart w:id="0" w:name="_GoBack"/>
      <w:bookmarkEnd w:id="0"/>
      <w:r w:rsidRPr="006034A1">
        <w:rPr>
          <w:rFonts w:ascii="Arial" w:hAnsi="Arial" w:cs="Arial"/>
          <w:b/>
          <w:noProof/>
          <w:color w:val="000000" w:themeColor="text1"/>
          <w:sz w:val="20"/>
          <w:szCs w:val="20"/>
          <w:lang w:val="es-ES" w:eastAsia="es-ES"/>
        </w:rPr>
        <w:t>GUÍA DE CONTENIDOS – UNIDAD 1</w:t>
      </w:r>
      <w:r w:rsidR="006034A1" w:rsidRPr="006034A1">
        <w:rPr>
          <w:rFonts w:ascii="Arial" w:hAnsi="Arial" w:cs="Arial"/>
          <w:b/>
          <w:noProof/>
          <w:color w:val="000000" w:themeColor="text1"/>
          <w:sz w:val="20"/>
          <w:szCs w:val="20"/>
          <w:lang w:val="es-ES" w:eastAsia="es-ES"/>
        </w:rPr>
        <w:t>:</w:t>
      </w:r>
      <w:r w:rsidR="006034A1" w:rsidRPr="006034A1">
        <w:rPr>
          <w:rFonts w:ascii="Arial" w:eastAsiaTheme="minorHAnsi" w:hAnsi="Arial" w:cs="Arial"/>
          <w:b/>
          <w:color w:val="000000" w:themeColor="text1"/>
          <w:sz w:val="20"/>
          <w:szCs w:val="20"/>
          <w:lang w:val="es-ES"/>
        </w:rPr>
        <w:t xml:space="preserve"> SALUD HUMANA Y MEDICINA</w:t>
      </w:r>
    </w:p>
    <w:p w14:paraId="5FA5DD80" w14:textId="2B494658" w:rsidR="00A01671" w:rsidRPr="006034A1" w:rsidRDefault="00691151" w:rsidP="006034A1">
      <w:pPr>
        <w:pStyle w:val="Sinespaciado"/>
        <w:jc w:val="center"/>
        <w:rPr>
          <w:rFonts w:ascii="Arial" w:hAnsi="Arial" w:cs="Arial"/>
          <w:b/>
          <w:noProof/>
          <w:color w:val="000000" w:themeColor="text1"/>
          <w:sz w:val="20"/>
          <w:szCs w:val="20"/>
          <w:lang w:val="es-ES" w:eastAsia="es-ES"/>
        </w:rPr>
      </w:pPr>
      <w:r w:rsidRPr="006034A1">
        <w:rPr>
          <w:rFonts w:ascii="Arial" w:hAnsi="Arial" w:cs="Arial"/>
          <w:b/>
          <w:noProof/>
          <w:color w:val="000000" w:themeColor="text1"/>
          <w:sz w:val="20"/>
          <w:szCs w:val="20"/>
          <w:lang w:val="es-ES" w:eastAsia="es-ES"/>
        </w:rPr>
        <w:t>ALIMENTOS TRANSGÉNICOS</w:t>
      </w:r>
    </w:p>
    <w:p w14:paraId="563F7311" w14:textId="40807D9D" w:rsidR="00CB2B0A" w:rsidRPr="006034A1" w:rsidRDefault="00C47631" w:rsidP="00603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20"/>
          <w:szCs w:val="20"/>
          <w:lang w:val="es-ES"/>
        </w:rPr>
      </w:pPr>
      <w:r w:rsidRPr="006034A1">
        <w:rPr>
          <w:rFonts w:ascii="Arial" w:hAnsi="Arial" w:cs="Arial"/>
          <w:b/>
          <w:noProof/>
          <w:color w:val="000000" w:themeColor="text1"/>
          <w:sz w:val="20"/>
          <w:szCs w:val="20"/>
          <w:lang w:val="es-ES" w:eastAsia="es-ES"/>
        </w:rPr>
        <w:t>Guía N</w:t>
      </w:r>
      <w:r w:rsidR="00736DAC" w:rsidRPr="006034A1">
        <w:rPr>
          <w:rFonts w:ascii="Arial" w:hAnsi="Arial" w:cs="Arial"/>
          <w:b/>
          <w:noProof/>
          <w:color w:val="000000" w:themeColor="text1"/>
          <w:sz w:val="20"/>
          <w:szCs w:val="20"/>
          <w:lang w:val="es-ES" w:eastAsia="es-ES"/>
        </w:rPr>
        <w:t>°</w:t>
      </w:r>
      <w:r w:rsidR="008F7751" w:rsidRPr="006034A1">
        <w:rPr>
          <w:rFonts w:ascii="Arial" w:hAnsi="Arial" w:cs="Arial"/>
          <w:b/>
          <w:noProof/>
          <w:color w:val="000000" w:themeColor="text1"/>
          <w:sz w:val="20"/>
          <w:szCs w:val="20"/>
          <w:lang w:val="es-ES" w:eastAsia="es-ES"/>
        </w:rPr>
        <w:t>4</w:t>
      </w:r>
      <w:r w:rsidRPr="006034A1">
        <w:rPr>
          <w:rFonts w:ascii="Arial" w:hAnsi="Arial" w:cs="Arial"/>
          <w:b/>
          <w:noProof/>
          <w:color w:val="000000" w:themeColor="text1"/>
          <w:sz w:val="20"/>
          <w:szCs w:val="20"/>
          <w:lang w:val="es-ES" w:eastAsia="es-ES"/>
        </w:rPr>
        <w:t xml:space="preserve"> – </w:t>
      </w:r>
      <w:r w:rsidR="00691151" w:rsidRPr="006034A1">
        <w:rPr>
          <w:rFonts w:ascii="Arial" w:hAnsi="Arial" w:cs="Arial"/>
          <w:b/>
          <w:noProof/>
          <w:color w:val="000000" w:themeColor="text1"/>
          <w:sz w:val="20"/>
          <w:szCs w:val="20"/>
          <w:lang w:val="es-ES" w:eastAsia="es-ES"/>
        </w:rPr>
        <w:t>CIENCIAS PARA LA CIUDADANÍA</w:t>
      </w:r>
      <w:r w:rsidR="006034A1">
        <w:rPr>
          <w:rFonts w:ascii="Arial" w:hAnsi="Arial" w:cs="Arial"/>
          <w:b/>
          <w:noProof/>
          <w:color w:val="000000" w:themeColor="text1"/>
          <w:sz w:val="20"/>
          <w:szCs w:val="20"/>
          <w:lang w:val="es-ES" w:eastAsia="es-ES"/>
        </w:rPr>
        <w:t>:</w:t>
      </w:r>
      <w:r w:rsidR="006034A1" w:rsidRPr="006034A1">
        <w:rPr>
          <w:rFonts w:ascii="Arial" w:hAnsi="Arial" w:cs="Arial"/>
          <w:b/>
          <w:noProof/>
          <w:color w:val="000000" w:themeColor="text1"/>
          <w:sz w:val="20"/>
          <w:szCs w:val="20"/>
          <w:lang w:val="es-ES" w:eastAsia="es-ES"/>
        </w:rPr>
        <w:t xml:space="preserve"> </w:t>
      </w:r>
      <w:r w:rsidR="006034A1" w:rsidRPr="006034A1">
        <w:rPr>
          <w:rFonts w:ascii="Arial" w:eastAsiaTheme="minorHAnsi" w:hAnsi="Arial" w:cs="Arial"/>
          <w:b/>
          <w:color w:val="000000" w:themeColor="text1"/>
          <w:sz w:val="20"/>
          <w:szCs w:val="20"/>
          <w:lang w:val="es-ES"/>
        </w:rPr>
        <w:t>MÓDULO BIENESTAR Y SALUD</w:t>
      </w:r>
    </w:p>
    <w:p w14:paraId="5B2E4451" w14:textId="77777777"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4759EB" w14:paraId="7A100573" w14:textId="77777777" w:rsidTr="00A01671">
        <w:trPr>
          <w:trHeight w:val="360"/>
          <w:jc w:val="center"/>
        </w:trPr>
        <w:tc>
          <w:tcPr>
            <w:tcW w:w="1372" w:type="dxa"/>
            <w:vAlign w:val="center"/>
          </w:tcPr>
          <w:p w14:paraId="18FFC75F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2790493A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555F502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2DA53DBF" w14:textId="5EE45027" w:rsidR="004A319A" w:rsidRPr="004759EB" w:rsidRDefault="00691151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lang w:val="es-MX"/>
              </w:rPr>
              <w:t>III</w:t>
            </w:r>
            <w:r w:rsidR="0009004D">
              <w:rPr>
                <w:rFonts w:ascii="Arial" w:hAnsi="Arial" w:cs="Arial"/>
                <w:b/>
                <w:lang w:val="es-MX"/>
              </w:rPr>
              <w:t>º</w:t>
            </w:r>
            <w:proofErr w:type="spellEnd"/>
            <w:r w:rsidR="0009004D">
              <w:rPr>
                <w:rFonts w:ascii="Arial" w:hAnsi="Arial" w:cs="Arial"/>
                <w:b/>
                <w:lang w:val="es-MX"/>
              </w:rPr>
              <w:t xml:space="preserve"> A – B</w:t>
            </w:r>
            <w:r>
              <w:rPr>
                <w:rFonts w:ascii="Arial" w:hAnsi="Arial" w:cs="Arial"/>
                <w:b/>
                <w:lang w:val="es-MX"/>
              </w:rPr>
              <w:t xml:space="preserve"> – C</w:t>
            </w:r>
          </w:p>
        </w:tc>
        <w:tc>
          <w:tcPr>
            <w:tcW w:w="993" w:type="dxa"/>
            <w:vAlign w:val="center"/>
          </w:tcPr>
          <w:p w14:paraId="373E9111" w14:textId="77777777" w:rsidR="004A319A" w:rsidRPr="004759EB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76501A5B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E818CEF" w14:textId="77777777" w:rsidR="002D1BC4" w:rsidRPr="004759EB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4759EB" w14:paraId="39CCD172" w14:textId="77777777" w:rsidTr="006C40CD">
        <w:tc>
          <w:tcPr>
            <w:tcW w:w="10902" w:type="dxa"/>
          </w:tcPr>
          <w:p w14:paraId="7B0894F9" w14:textId="77777777" w:rsidR="006C40CD" w:rsidRPr="004759EB" w:rsidRDefault="006C40CD" w:rsidP="00D338AF">
            <w:pPr>
              <w:rPr>
                <w:rFonts w:ascii="Arial" w:hAnsi="Arial" w:cs="Arial"/>
              </w:rPr>
            </w:pPr>
            <w:r w:rsidRPr="004759EB">
              <w:rPr>
                <w:rFonts w:ascii="Arial" w:hAnsi="Arial" w:cs="Arial"/>
              </w:rPr>
              <w:t>INSTRUCCIONES</w:t>
            </w:r>
            <w:r w:rsidR="003E24E9" w:rsidRPr="004759EB">
              <w:rPr>
                <w:rFonts w:ascii="Arial" w:hAnsi="Arial" w:cs="Arial"/>
              </w:rPr>
              <w:t xml:space="preserve">: </w:t>
            </w:r>
          </w:p>
          <w:p w14:paraId="5340D87B" w14:textId="3C784828" w:rsidR="004759EB" w:rsidRPr="004759EB" w:rsidRDefault="004759EB" w:rsidP="004759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759EB">
              <w:rPr>
                <w:rFonts w:ascii="Arial" w:hAnsi="Arial" w:cs="Arial"/>
              </w:rPr>
              <w:t>La siguiente guía tiene como objetivo permitir el estudio de los contenidos desde su hogar.</w:t>
            </w:r>
          </w:p>
          <w:p w14:paraId="1C59E85D" w14:textId="5D23F0A2" w:rsidR="004759EB" w:rsidRPr="00242B7D" w:rsidRDefault="00242B7D" w:rsidP="00242B7D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El desarrollo de este trabajo</w:t>
            </w:r>
            <w:r w:rsidRPr="00C75DA6">
              <w:rPr>
                <w:rFonts w:ascii="Arial" w:hAnsi="Arial" w:cs="Arial"/>
                <w:lang w:val="es-ES"/>
              </w:rPr>
              <w:t xml:space="preserve"> es de carácter</w:t>
            </w:r>
            <w:r w:rsidRPr="00FC4761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>INDIVIDUAL</w:t>
            </w:r>
            <w:r w:rsidR="00691151">
              <w:rPr>
                <w:rFonts w:ascii="Arial" w:hAnsi="Arial" w:cs="Arial"/>
                <w:lang w:val="es-ES"/>
              </w:rPr>
              <w:t>.</w:t>
            </w:r>
          </w:p>
          <w:p w14:paraId="134817CF" w14:textId="57898F07" w:rsidR="00C75DA6" w:rsidRPr="004759EB" w:rsidRDefault="00C75DA6" w:rsidP="00C75D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759EB">
              <w:rPr>
                <w:rFonts w:ascii="Arial" w:hAnsi="Arial" w:cs="Arial"/>
              </w:rPr>
              <w:t>NO está permitido copiar ni dejarse copiar</w:t>
            </w:r>
            <w:r w:rsidR="004759EB" w:rsidRPr="004759EB">
              <w:rPr>
                <w:rFonts w:ascii="Arial" w:hAnsi="Arial" w:cs="Arial"/>
              </w:rPr>
              <w:t>.</w:t>
            </w:r>
          </w:p>
          <w:p w14:paraId="4FC623B5" w14:textId="77777777" w:rsidR="00C75DA6" w:rsidRPr="004759EB" w:rsidRDefault="00C75DA6" w:rsidP="00C75DA6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4759EB">
              <w:rPr>
                <w:rFonts w:ascii="Arial" w:hAnsi="Arial" w:cs="Arial"/>
              </w:rPr>
              <w:t xml:space="preserve">Redacte sus respuestas de manera ordenada y coherente según lo solicitado. </w:t>
            </w:r>
          </w:p>
          <w:p w14:paraId="52688066" w14:textId="6249879A" w:rsidR="006C40CD" w:rsidRPr="004759EB" w:rsidRDefault="00C75DA6" w:rsidP="004759EB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4759EB">
              <w:rPr>
                <w:rFonts w:ascii="Arial" w:hAnsi="Arial" w:cs="Arial"/>
              </w:rPr>
              <w:t>Puede</w:t>
            </w:r>
            <w:r w:rsidR="004C7C74" w:rsidRPr="004759EB">
              <w:rPr>
                <w:rFonts w:ascii="Arial" w:hAnsi="Arial" w:cs="Arial"/>
              </w:rPr>
              <w:t xml:space="preserve"> entregar el desarrollo de este trabajo </w:t>
            </w:r>
            <w:r w:rsidRPr="004759EB">
              <w:rPr>
                <w:rFonts w:ascii="Arial" w:hAnsi="Arial" w:cs="Arial"/>
              </w:rPr>
              <w:t>en una hoja anexa</w:t>
            </w:r>
            <w:r w:rsidR="00FC4761" w:rsidRPr="004759EB">
              <w:rPr>
                <w:rFonts w:ascii="Arial" w:hAnsi="Arial" w:cs="Arial"/>
              </w:rPr>
              <w:t xml:space="preserve"> o documento distinto</w:t>
            </w:r>
            <w:r w:rsidRPr="004759EB">
              <w:rPr>
                <w:rFonts w:ascii="Arial" w:hAnsi="Arial" w:cs="Arial"/>
              </w:rPr>
              <w:t>, siendo indispensable hacerlo de f</w:t>
            </w:r>
            <w:r w:rsidR="004759EB" w:rsidRPr="004759EB">
              <w:rPr>
                <w:rFonts w:ascii="Arial" w:hAnsi="Arial" w:cs="Arial"/>
              </w:rPr>
              <w:t xml:space="preserve">orma ordenada, clara y legible al correo </w:t>
            </w:r>
            <w:hyperlink r:id="rId8" w:history="1">
              <w:r w:rsidRPr="004759EB">
                <w:rPr>
                  <w:rStyle w:val="Hipervnculo"/>
                  <w:rFonts w:ascii="Arial" w:hAnsi="Arial" w:cs="Arial"/>
                </w:rPr>
                <w:t>carolina.silva@elar.cl</w:t>
              </w:r>
            </w:hyperlink>
            <w:r w:rsidRPr="004759EB">
              <w:rPr>
                <w:rFonts w:ascii="Arial" w:hAnsi="Arial" w:cs="Arial"/>
              </w:rPr>
              <w:t xml:space="preserve"> </w:t>
            </w:r>
          </w:p>
          <w:p w14:paraId="72D03D4E" w14:textId="3DB49105" w:rsidR="004759EB" w:rsidRPr="004759EB" w:rsidRDefault="004759EB" w:rsidP="004759EB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4759EB">
              <w:rPr>
                <w:rFonts w:ascii="Arial" w:hAnsi="Arial" w:cs="Arial"/>
              </w:rPr>
              <w:t xml:space="preserve">Se consignará como nota de tarea: acumulativa. </w:t>
            </w:r>
          </w:p>
        </w:tc>
      </w:tr>
    </w:tbl>
    <w:p w14:paraId="018BE2DA" w14:textId="77777777" w:rsidR="006C40CD" w:rsidRPr="004759EB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14:paraId="59C9EE53" w14:textId="77777777" w:rsidTr="00FC1A48">
        <w:tc>
          <w:tcPr>
            <w:tcW w:w="10940" w:type="dxa"/>
          </w:tcPr>
          <w:p w14:paraId="6E8A6FE7" w14:textId="10939780" w:rsidR="00736DAC" w:rsidRPr="00691151" w:rsidRDefault="007B238D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42B7D">
              <w:rPr>
                <w:rFonts w:ascii="Arial" w:hAnsi="Arial" w:cs="Arial"/>
                <w:b/>
                <w:sz w:val="20"/>
                <w:szCs w:val="20"/>
                <w:lang w:val="es-MX"/>
              </w:rPr>
              <w:t>Obj</w:t>
            </w:r>
            <w:r w:rsidR="00736DAC" w:rsidRPr="00242B7D">
              <w:rPr>
                <w:rFonts w:ascii="Arial" w:hAnsi="Arial" w:cs="Arial"/>
                <w:b/>
                <w:sz w:val="20"/>
                <w:szCs w:val="20"/>
                <w:lang w:val="es-MX"/>
              </w:rPr>
              <w:t>etivos</w:t>
            </w:r>
            <w:r w:rsidR="00736DAC" w:rsidRPr="00691151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  <w:r w:rsidR="00C47631" w:rsidRPr="0069115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691151"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Analiz</w:t>
            </w:r>
            <w:r w:rsid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an casos describiendo patrones, </w:t>
            </w:r>
            <w:r w:rsidR="00691151"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tendencias y relaciones entre la salud</w:t>
            </w:r>
            <w:r w:rsid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="00691151"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y factores como nutrición, consumo</w:t>
            </w:r>
            <w:r w:rsid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="00691151"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de alimentos transgénicos, actividad</w:t>
            </w:r>
            <w:r w:rsid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="00691151"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física, estrés, consumo de alcohol y</w:t>
            </w:r>
            <w:r w:rsid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="00691151"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drogas, y exposición a rayos UV,</w:t>
            </w:r>
            <w:r w:rsid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="00691151"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plaguicidas, patógenos y elementos</w:t>
            </w:r>
            <w:r w:rsid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="00691151"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contaminantes.</w:t>
            </w:r>
          </w:p>
          <w:p w14:paraId="4FF3DF4A" w14:textId="6B48F415" w:rsidR="009063C1" w:rsidRPr="00D338AF" w:rsidRDefault="00736DAC" w:rsidP="00691151">
            <w:pPr>
              <w:rPr>
                <w:rFonts w:ascii="Arial" w:hAnsi="Arial" w:cs="Arial"/>
                <w:b/>
                <w:lang w:val="es-MX"/>
              </w:rPr>
            </w:pPr>
            <w:r w:rsidRPr="00691151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69115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691151" w:rsidRPr="00691151">
              <w:rPr>
                <w:rFonts w:ascii="Arial" w:hAnsi="Arial" w:cs="Arial"/>
                <w:sz w:val="20"/>
                <w:szCs w:val="20"/>
                <w:lang w:val="es-MX"/>
              </w:rPr>
              <w:t>Alimentos</w:t>
            </w:r>
            <w:r w:rsidR="00691151">
              <w:rPr>
                <w:rFonts w:ascii="Arial" w:hAnsi="Arial" w:cs="Arial"/>
                <w:sz w:val="20"/>
                <w:szCs w:val="20"/>
                <w:lang w:val="es-MX"/>
              </w:rPr>
              <w:t xml:space="preserve"> transgénicos. Nutrición.</w:t>
            </w:r>
            <w:r w:rsidR="00881F5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32C8DB31" w14:textId="77777777"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91B96C4" w14:textId="0A1DCEB4" w:rsidR="00F77524" w:rsidRDefault="00BB05EE" w:rsidP="00403693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F04BEB">
        <w:rPr>
          <w:rFonts w:ascii="Arial" w:hAnsi="Arial" w:cs="Arial"/>
          <w:b/>
          <w:lang w:val="es-ES"/>
        </w:rPr>
        <w:t>ITEM I.-</w:t>
      </w:r>
      <w:r w:rsidR="003E24E9" w:rsidRPr="00F04BEB">
        <w:rPr>
          <w:rFonts w:ascii="Arial" w:hAnsi="Arial" w:cs="Arial"/>
          <w:b/>
          <w:lang w:val="es-ES"/>
        </w:rPr>
        <w:t xml:space="preserve"> </w:t>
      </w:r>
      <w:r w:rsidR="00C47631" w:rsidRPr="00F04BEB">
        <w:rPr>
          <w:rFonts w:ascii="Arial" w:hAnsi="Arial" w:cs="Arial"/>
          <w:b/>
          <w:lang w:val="es-ES"/>
        </w:rPr>
        <w:t>PRESENTACIÓN DEL CONTENIDO</w:t>
      </w:r>
    </w:p>
    <w:p w14:paraId="3E538284" w14:textId="77777777" w:rsidR="00691151" w:rsidRDefault="00691151" w:rsidP="00691151">
      <w:pPr>
        <w:widowControl w:val="0"/>
        <w:tabs>
          <w:tab w:val="left" w:pos="3094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ES"/>
        </w:rPr>
      </w:pPr>
    </w:p>
    <w:p w14:paraId="24C2D008" w14:textId="584B3800" w:rsidR="00691151" w:rsidRDefault="00691151" w:rsidP="00691151">
      <w:pPr>
        <w:widowControl w:val="0"/>
        <w:tabs>
          <w:tab w:val="left" w:pos="30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b/>
          <w:color w:val="000000"/>
          <w:sz w:val="20"/>
          <w:szCs w:val="20"/>
          <w:lang w:val="es-ES"/>
        </w:rPr>
        <w:t>ALIMENTOS TRANSGÉNICOS</w:t>
      </w:r>
    </w:p>
    <w:p w14:paraId="58B04685" w14:textId="77777777" w:rsidR="00691151" w:rsidRPr="00691151" w:rsidRDefault="00691151" w:rsidP="00691151">
      <w:pPr>
        <w:widowControl w:val="0"/>
        <w:tabs>
          <w:tab w:val="left" w:pos="30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val="es-ES"/>
        </w:rPr>
      </w:pPr>
    </w:p>
    <w:p w14:paraId="6934B483" w14:textId="77777777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color w:val="000000"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b/>
          <w:i/>
          <w:color w:val="000000"/>
          <w:sz w:val="20"/>
          <w:szCs w:val="20"/>
          <w:lang w:val="es-ES"/>
        </w:rPr>
        <w:t>Anuncian el mayor estudio sobre transgénicos y plaguicidas</w:t>
      </w:r>
    </w:p>
    <w:p w14:paraId="6C5663D3" w14:textId="77777777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ES"/>
        </w:rPr>
      </w:pPr>
    </w:p>
    <w:p w14:paraId="28461698" w14:textId="103EA826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>Durante el día de hoy, una importante noticia se anunció sobre los transgénicos, también denominados</w:t>
      </w:r>
      <w:r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>Organismos Genéticamente Modificados (GMO, por sus siglas en inglés). El mayor estudio jamás realizado sobre</w:t>
      </w:r>
      <w:r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>este tipo de cultivos será realizado para probar, con una alta rigurosidad científica, si estos alimentos son</w:t>
      </w:r>
      <w:r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>efectivamente dañinos para la salud de la población o no.</w:t>
      </w:r>
    </w:p>
    <w:p w14:paraId="71565302" w14:textId="77777777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</w:pPr>
    </w:p>
    <w:p w14:paraId="25B7DC50" w14:textId="23A951CF" w:rsidR="00242B7D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>Para realizar esto, se alimentará a más de seis mil ratas de laboratorio con una dieta de maíz transgénico y</w:t>
      </w:r>
      <w:r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>plaguicidas –</w:t>
      </w:r>
      <w:proofErr w:type="gramStart"/>
      <w:r w:rsidRPr="00691151"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>particularmente</w:t>
      </w:r>
      <w:proofErr w:type="gramEnd"/>
      <w:r w:rsidRPr="00691151"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 xml:space="preserve"> el glifosato que se encuentra en el herbicida “</w:t>
      </w:r>
      <w:proofErr w:type="spellStart"/>
      <w:r w:rsidRPr="00691151"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>Roundup</w:t>
      </w:r>
      <w:proofErr w:type="spellEnd"/>
      <w:r w:rsidRPr="00691151"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>”-, los que serán evaluados</w:t>
      </w:r>
      <w:r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>en dos niveles: cumpliendo y superando las normas internacionales exigidas para las pruebas de toxicidad de</w:t>
      </w:r>
      <w:r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  <w:t>alimentos transgénicos y otras sustancias.</w:t>
      </w:r>
    </w:p>
    <w:p w14:paraId="31B44658" w14:textId="77777777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color w:val="000000"/>
          <w:sz w:val="20"/>
          <w:szCs w:val="20"/>
          <w:lang w:val="es-ES"/>
        </w:rPr>
      </w:pPr>
    </w:p>
    <w:p w14:paraId="1BB85810" w14:textId="3DA158B0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El estudio, de unos 25 millones de dólares, comenzó su fase preparatoria a inicios del presente año, aunque se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iniciará formalmente durante el 2015 y tendrá una duración de 2 o 3 años, tiempo durante el cual se publicarán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resultados preliminares de manera periódica.</w:t>
      </w:r>
    </w:p>
    <w:p w14:paraId="71D43F43" w14:textId="77777777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0"/>
          <w:szCs w:val="20"/>
          <w:lang w:val="es-ES"/>
        </w:rPr>
      </w:pPr>
    </w:p>
    <w:p w14:paraId="34327C35" w14:textId="6E2B0196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El objetivo central de “Factor GMO”, como se ha denominado al estudio, es probar o refutar la relación entre el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 xml:space="preserve">factor toxicidad, </w:t>
      </w:r>
      <w:proofErr w:type="spellStart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carcinogenicidad</w:t>
      </w:r>
      <w:proofErr w:type="spellEnd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 xml:space="preserve"> y </w:t>
      </w:r>
      <w:proofErr w:type="spellStart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multigeneracional</w:t>
      </w:r>
      <w:proofErr w:type="spellEnd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, con la alimentación con productos transgénicos.</w:t>
      </w:r>
    </w:p>
    <w:p w14:paraId="02E8D0CE" w14:textId="77777777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0"/>
          <w:szCs w:val="20"/>
          <w:lang w:val="es-ES"/>
        </w:rPr>
      </w:pPr>
    </w:p>
    <w:p w14:paraId="1574F6E6" w14:textId="1FA9EF2C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De esta manera, se espera tener una base científica rigurosa para contribuir al debate mundial sobre el uso de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los transgénicos. Para esto, los investigadores que participarán del estudio serán neutrales con respecto al debate,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es decir, no tendrán relación con la industria de los transgénicos ni con grupos activistas contra el uso de OGM. A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su vez, según ha trascendido, existirá un Comité de Revisión del estudio, el que estará formado por tres expertos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internacionales.</w:t>
      </w:r>
    </w:p>
    <w:p w14:paraId="55493011" w14:textId="77777777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0"/>
          <w:szCs w:val="20"/>
          <w:lang w:val="es-ES"/>
        </w:rPr>
      </w:pPr>
    </w:p>
    <w:p w14:paraId="7834E364" w14:textId="5BAD5ABF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 xml:space="preserve">Según ha señalado la Dr. Fiorella </w:t>
      </w:r>
      <w:proofErr w:type="spellStart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Belpoggi</w:t>
      </w:r>
      <w:proofErr w:type="spellEnd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, integrante del Comité de Revisión y actual directora del Centro de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 xml:space="preserve">Investigaciones Oncológicas Cesare </w:t>
      </w:r>
      <w:proofErr w:type="spellStart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Maltoni</w:t>
      </w:r>
      <w:proofErr w:type="spellEnd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, de Italia, este estudio resultará fundamental para pronosticar los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efectos de los cultivos transgénicos en la salud de las personas.</w:t>
      </w:r>
    </w:p>
    <w:p w14:paraId="247F3B43" w14:textId="77777777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0"/>
          <w:szCs w:val="20"/>
          <w:lang w:val="es-ES"/>
        </w:rPr>
      </w:pPr>
    </w:p>
    <w:p w14:paraId="4EE490F7" w14:textId="25795B57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“La preocupación por los cultivos genéticamente modificados se debe en gran parte al hecho de que los obtentores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pueden crear secuencias de ADN sintético e insertarlas en el genoma de los cultivos, añadiendo nuevas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 xml:space="preserve">características a la planta.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lastRenderedPageBreak/>
        <w:t>Los estudios de alimentación animal realizados hasta ahora para examinar los riesgos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relacionados con los transgénicos para los consumidores varían en cuanto a la dieta, duración y tipo de animal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utilizado, haciendo que sea difícil comparar e interpretar los resultados. El estudio Factor GMO podría proporcionar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los datos detallados necesarios para una evaluación basada en pruebas científicas de los posibles riesgos para la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salud humana derivados del cultivo transgénico y su plaguicida asociado”.</w:t>
      </w:r>
    </w:p>
    <w:p w14:paraId="3BB1D7EC" w14:textId="77777777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0"/>
          <w:szCs w:val="20"/>
          <w:lang w:val="es-ES"/>
        </w:rPr>
      </w:pPr>
    </w:p>
    <w:p w14:paraId="2D0CB791" w14:textId="2FB89EB4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 xml:space="preserve">Los otros dos miembros del Comité serán la Dra. </w:t>
      </w:r>
      <w:proofErr w:type="spellStart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Oxana</w:t>
      </w:r>
      <w:proofErr w:type="spellEnd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Sinitsyna</w:t>
      </w:r>
      <w:proofErr w:type="spellEnd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, Directora Adjunta de Ciencias del Instituto de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 xml:space="preserve">Investigación A. N. </w:t>
      </w:r>
      <w:proofErr w:type="spellStart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Sysin</w:t>
      </w:r>
      <w:proofErr w:type="spellEnd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 xml:space="preserve">, del Ministerio de Sanidad de la Federación de Rusia; y el Dr. Bruce </w:t>
      </w:r>
      <w:proofErr w:type="spellStart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Blumberg</w:t>
      </w:r>
      <w:proofErr w:type="spellEnd"/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, Profesor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de Biología Celular y del Desarrollo, de la Facultad de Ciencias Biológicas de la Universidad de California, Estados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Unidos.</w:t>
      </w:r>
    </w:p>
    <w:p w14:paraId="58AD36FB" w14:textId="77777777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0"/>
          <w:szCs w:val="20"/>
          <w:lang w:val="es-ES"/>
        </w:rPr>
      </w:pPr>
    </w:p>
    <w:p w14:paraId="49408A04" w14:textId="016C99C3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El estudio es financiado por diversos particulares de Rusia y la Unión Europea, cuyos nombres serán publicados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durante el próximo año, una vez que se inicie el estudio oficialmente. La investigación, por otro lado, fue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organizada por la Asociación Nacional de Seguridad Genética (NAGS, por sus siglas en inglés). Según ha sido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declarad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o, ni los financistas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ni NAGS influirán de manera alguna en el diseño del estudio, pues el Comité de</w:t>
      </w:r>
      <w:r>
        <w:rPr>
          <w:rFonts w:ascii="Arial" w:eastAsiaTheme="minorHAnsi" w:hAnsi="Arial" w:cs="Arial"/>
          <w:i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i/>
          <w:sz w:val="20"/>
          <w:szCs w:val="20"/>
          <w:lang w:val="es-ES"/>
        </w:rPr>
        <w:t>Revisión asumirá el control absoluto de la investigación, funcionando como un ente independiente.</w:t>
      </w:r>
    </w:p>
    <w:p w14:paraId="5A9D9D06" w14:textId="77777777" w:rsidR="00691151" w:rsidRPr="00691151" w:rsidRDefault="00691151" w:rsidP="00691151">
      <w:pPr>
        <w:pStyle w:val="Prrafodelista"/>
        <w:spacing w:after="0" w:line="240" w:lineRule="auto"/>
        <w:ind w:left="0"/>
        <w:rPr>
          <w:rFonts w:ascii="Arial" w:eastAsiaTheme="minorHAnsi" w:hAnsi="Arial" w:cs="Arial"/>
          <w:sz w:val="20"/>
          <w:szCs w:val="20"/>
          <w:lang w:val="es-ES"/>
        </w:rPr>
      </w:pPr>
    </w:p>
    <w:p w14:paraId="34B9E976" w14:textId="7D8E3314" w:rsidR="00691151" w:rsidRPr="00691151" w:rsidRDefault="00691151" w:rsidP="00691151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sz w:val="20"/>
          <w:szCs w:val="20"/>
          <w:lang w:val="es-ES"/>
        </w:rPr>
        <w:t>(Fuente: https://www.eldesconcierto.cl/2014/11/13/anuncian-el-mayor-estudio-sobre-transgenicos-y</w:t>
      </w:r>
      <w:r>
        <w:rPr>
          <w:rFonts w:ascii="Arial" w:eastAsiaTheme="minorHAnsi" w:hAnsi="Arial" w:cs="Arial"/>
          <w:sz w:val="20"/>
          <w:szCs w:val="20"/>
          <w:lang w:val="es-ES"/>
        </w:rPr>
        <w:t>-</w:t>
      </w:r>
      <w:r w:rsidRPr="00691151">
        <w:rPr>
          <w:rFonts w:ascii="Arial" w:eastAsiaTheme="minorHAnsi" w:hAnsi="Arial" w:cs="Arial"/>
          <w:sz w:val="20"/>
          <w:szCs w:val="20"/>
          <w:lang w:val="es-ES"/>
        </w:rPr>
        <w:t>plaguicidas/)</w:t>
      </w:r>
    </w:p>
    <w:p w14:paraId="198BB4BE" w14:textId="77777777" w:rsidR="00242B7D" w:rsidRPr="00691151" w:rsidRDefault="00242B7D" w:rsidP="00F77524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5D07FA2E" w14:textId="3B08D544" w:rsidR="003E24E9" w:rsidRPr="00691151" w:rsidRDefault="00B3734B" w:rsidP="00D338AF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91151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ITEM II.- PRÁCTICA GUIADA. </w:t>
      </w:r>
      <w:r w:rsidRPr="0069115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Puede complementar su </w:t>
      </w:r>
      <w:r w:rsidR="00E36FAB" w:rsidRPr="00691151">
        <w:rPr>
          <w:rFonts w:ascii="Arial" w:hAnsi="Arial" w:cs="Arial"/>
          <w:color w:val="000000" w:themeColor="text1"/>
          <w:sz w:val="20"/>
          <w:szCs w:val="20"/>
          <w:lang w:val="es-ES"/>
        </w:rPr>
        <w:t>estudio</w:t>
      </w:r>
      <w:r w:rsidRPr="0069115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con los siguientes link:</w:t>
      </w:r>
    </w:p>
    <w:p w14:paraId="0DF18E9B" w14:textId="77777777" w:rsidR="00691151" w:rsidRPr="00691151" w:rsidRDefault="00691151" w:rsidP="00D338AF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CF93864" w14:textId="2BBD24F8" w:rsidR="00691151" w:rsidRPr="00691151" w:rsidRDefault="00691151" w:rsidP="00691151">
      <w:pPr>
        <w:pStyle w:val="Prrafodelista"/>
        <w:spacing w:after="0" w:line="240" w:lineRule="auto"/>
        <w:ind w:left="0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b/>
          <w:sz w:val="20"/>
          <w:szCs w:val="20"/>
          <w:lang w:val="es-ES"/>
        </w:rPr>
        <w:t>VIDEO:</w:t>
      </w:r>
      <w:r w:rsidRPr="00691151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hyperlink r:id="rId9" w:anchor="action=share" w:history="1">
        <w:r w:rsidRPr="00691151">
          <w:rPr>
            <w:rStyle w:val="Hipervnculo"/>
            <w:rFonts w:ascii="Arial" w:eastAsiaTheme="minorHAnsi" w:hAnsi="Arial" w:cs="Arial"/>
            <w:sz w:val="20"/>
            <w:szCs w:val="20"/>
            <w:lang w:val="es-ES"/>
          </w:rPr>
          <w:t>https://www.youtube.com/watch?v=e0JajGQ00RE#action=share</w:t>
        </w:r>
      </w:hyperlink>
      <w:r w:rsidRPr="00691151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</w:p>
    <w:p w14:paraId="6FF529E5" w14:textId="24C6EC3D" w:rsidR="00691151" w:rsidRPr="00691151" w:rsidRDefault="00691151" w:rsidP="00691151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18"/>
          <w:szCs w:val="20"/>
          <w:lang w:val="es-ES"/>
        </w:rPr>
      </w:pPr>
      <w:r w:rsidRPr="00691151">
        <w:rPr>
          <w:rFonts w:ascii="Arial" w:eastAsiaTheme="minorHAnsi" w:hAnsi="Arial" w:cs="Arial"/>
          <w:b/>
          <w:sz w:val="20"/>
          <w:szCs w:val="20"/>
          <w:lang w:val="es-ES"/>
        </w:rPr>
        <w:t>INFOGRAFÍA:</w:t>
      </w:r>
      <w:r w:rsidRPr="00691151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hyperlink r:id="rId10" w:history="1">
        <w:r w:rsidRPr="00691151">
          <w:rPr>
            <w:rStyle w:val="Hipervnculo"/>
            <w:rFonts w:ascii="Arial" w:eastAsiaTheme="minorHAnsi" w:hAnsi="Arial" w:cs="Arial"/>
            <w:sz w:val="18"/>
            <w:szCs w:val="20"/>
            <w:lang w:val="es-ES"/>
          </w:rPr>
          <w:t>https://www.chilebio.cl/wp-content/uploads/2016/03/aspectos-destacados-de-los-cultivos-transgenicos-en-2015.jpg</w:t>
        </w:r>
      </w:hyperlink>
      <w:r w:rsidRPr="00691151">
        <w:rPr>
          <w:rFonts w:ascii="Arial" w:eastAsiaTheme="minorHAnsi" w:hAnsi="Arial" w:cs="Arial"/>
          <w:sz w:val="18"/>
          <w:szCs w:val="20"/>
          <w:lang w:val="es-ES"/>
        </w:rPr>
        <w:t xml:space="preserve"> </w:t>
      </w:r>
    </w:p>
    <w:p w14:paraId="38A6DB7C" w14:textId="7E619F19" w:rsidR="00983194" w:rsidRPr="00691151" w:rsidRDefault="00983194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1FA1A209" w14:textId="77777777" w:rsidR="00242B7D" w:rsidRPr="00691151" w:rsidRDefault="00242B7D" w:rsidP="009602C6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66883092" w14:textId="05E154F3" w:rsidR="004B7D1B" w:rsidRDefault="001C4BF9" w:rsidP="009602C6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691151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ITEM </w:t>
      </w:r>
      <w:r w:rsidR="00572236" w:rsidRPr="00691151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III.</w:t>
      </w:r>
      <w:r w:rsidRPr="00691151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- PRÁCTICA AUTÓNOMA Y PRODUCTO</w:t>
      </w:r>
      <w:r w:rsidR="00C75DA6" w:rsidRPr="00691151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. </w:t>
      </w:r>
      <w:r w:rsidR="00E36FAB" w:rsidRPr="00691151">
        <w:rPr>
          <w:rFonts w:ascii="Arial" w:hAnsi="Arial" w:cs="Arial"/>
          <w:color w:val="000000" w:themeColor="text1"/>
          <w:sz w:val="20"/>
          <w:szCs w:val="20"/>
          <w:lang w:val="es-ES"/>
        </w:rPr>
        <w:t>Reflexiona y responde:</w:t>
      </w:r>
      <w:r w:rsidR="00E36FAB" w:rsidRPr="00691151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</w:p>
    <w:p w14:paraId="64C4DA9F" w14:textId="77777777" w:rsidR="00691151" w:rsidRDefault="00691151" w:rsidP="009602C6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6F03FD6B" w14:textId="4FC3A649" w:rsidR="00691151" w:rsidRDefault="00691151" w:rsidP="009602C6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Luego de analizar el texto: </w:t>
      </w:r>
    </w:p>
    <w:p w14:paraId="071DF526" w14:textId="77777777" w:rsidR="00691151" w:rsidRPr="00691151" w:rsidRDefault="00691151" w:rsidP="009602C6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55F1809F" w14:textId="77777777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sz w:val="20"/>
          <w:szCs w:val="20"/>
          <w:lang w:val="es-ES"/>
        </w:rPr>
        <w:t>1. ¿El texto leído es científico o de divulgación científica?, ¿Por qué?</w:t>
      </w:r>
    </w:p>
    <w:p w14:paraId="0C5A0C50" w14:textId="77777777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91151" w14:paraId="116ABC40" w14:textId="77777777" w:rsidTr="00691151">
        <w:tc>
          <w:tcPr>
            <w:tcW w:w="10752" w:type="dxa"/>
          </w:tcPr>
          <w:p w14:paraId="46C4B034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02A88347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15C0D9BE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226E022E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6FF126CF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</w:tbl>
    <w:p w14:paraId="75970771" w14:textId="77777777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</w:p>
    <w:p w14:paraId="2CE027E8" w14:textId="77777777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sz w:val="20"/>
          <w:szCs w:val="20"/>
          <w:lang w:val="es-ES"/>
        </w:rPr>
        <w:t>2. ¿Qué opinas sobre experimentar sobre 6.000 ratas con un plaguicida?</w:t>
      </w:r>
    </w:p>
    <w:p w14:paraId="17BB6BB1" w14:textId="77777777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91151" w14:paraId="5AF27B9D" w14:textId="77777777" w:rsidTr="00691151">
        <w:tc>
          <w:tcPr>
            <w:tcW w:w="10752" w:type="dxa"/>
          </w:tcPr>
          <w:p w14:paraId="237D2827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137A2C26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50FC6853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7E3B0CAB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3A61F821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780E62D5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</w:tbl>
    <w:p w14:paraId="0C1F1170" w14:textId="77777777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</w:p>
    <w:p w14:paraId="5E819D19" w14:textId="627BC539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sz w:val="20"/>
          <w:szCs w:val="20"/>
          <w:lang w:val="es-ES"/>
        </w:rPr>
        <w:t>3. ¿Por qué los datos los extrapolan a los seres humanos? ¿Es esto, en rigor, correcto?,</w:t>
      </w:r>
      <w:r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sz w:val="20"/>
          <w:szCs w:val="20"/>
          <w:lang w:val="es-ES"/>
        </w:rPr>
        <w:t>¿Por qué?</w:t>
      </w:r>
    </w:p>
    <w:p w14:paraId="5B78D524" w14:textId="77777777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91151" w14:paraId="230BB674" w14:textId="77777777" w:rsidTr="00691151">
        <w:tc>
          <w:tcPr>
            <w:tcW w:w="10752" w:type="dxa"/>
          </w:tcPr>
          <w:p w14:paraId="1363569C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64FE69AC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0F28E4DF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2EE0FC61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083EE604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42D5E700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</w:tbl>
    <w:p w14:paraId="4595A709" w14:textId="77777777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</w:p>
    <w:p w14:paraId="1422EFBC" w14:textId="77777777" w:rsidR="0040138F" w:rsidRPr="00691151" w:rsidRDefault="0040138F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</w:p>
    <w:p w14:paraId="2D74A033" w14:textId="77777777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691151">
        <w:rPr>
          <w:rFonts w:ascii="Arial" w:eastAsiaTheme="minorHAnsi" w:hAnsi="Arial" w:cs="Arial"/>
          <w:sz w:val="20"/>
          <w:szCs w:val="20"/>
          <w:lang w:val="es-ES"/>
        </w:rPr>
        <w:lastRenderedPageBreak/>
        <w:t>4. ¿Por qué es necesaria la participación de científicos de diversos países?</w:t>
      </w:r>
    </w:p>
    <w:p w14:paraId="700AD395" w14:textId="77777777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91151" w14:paraId="12745AD8" w14:textId="77777777" w:rsidTr="00691151">
        <w:tc>
          <w:tcPr>
            <w:tcW w:w="10752" w:type="dxa"/>
          </w:tcPr>
          <w:p w14:paraId="14CDCE83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36783A5A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3D636277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28C54BEB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5860BE60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</w:tbl>
    <w:p w14:paraId="6A63FACE" w14:textId="77777777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</w:p>
    <w:p w14:paraId="33FE444C" w14:textId="77777777" w:rsidR="00691151" w:rsidRDefault="00691151" w:rsidP="00F2594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14:paraId="1FCF1357" w14:textId="49F129B8" w:rsidR="00691151" w:rsidRDefault="00691151" w:rsidP="00F2594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Luego de analizar la infografía y el video (ÍTEM II):</w:t>
      </w:r>
    </w:p>
    <w:p w14:paraId="43DA4612" w14:textId="77777777" w:rsidR="00691151" w:rsidRPr="00691151" w:rsidRDefault="00691151" w:rsidP="00F2594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14:paraId="1A7FD44C" w14:textId="43494AFA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>
        <w:rPr>
          <w:rFonts w:ascii="Arial" w:eastAsiaTheme="minorHAnsi" w:hAnsi="Arial" w:cs="Arial"/>
          <w:color w:val="222222"/>
          <w:sz w:val="20"/>
          <w:szCs w:val="20"/>
          <w:lang w:val="es-ES"/>
        </w:rPr>
        <w:t>5</w:t>
      </w:r>
      <w:r w:rsidRPr="00691151">
        <w:rPr>
          <w:rFonts w:ascii="Arial" w:eastAsiaTheme="minorHAnsi" w:hAnsi="Arial" w:cs="Arial"/>
          <w:color w:val="222222"/>
          <w:sz w:val="20"/>
          <w:szCs w:val="20"/>
          <w:lang w:val="es-ES"/>
        </w:rPr>
        <w:t>. ¿Cuáles son los alimentos transgénicos de mayor producción a nivel local y global?</w:t>
      </w:r>
    </w:p>
    <w:p w14:paraId="3C8EEDDA" w14:textId="77777777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91151" w14:paraId="796B5F7E" w14:textId="77777777" w:rsidTr="00691151">
        <w:tc>
          <w:tcPr>
            <w:tcW w:w="10752" w:type="dxa"/>
          </w:tcPr>
          <w:p w14:paraId="273B5372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29FCFAD5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692F7C9E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5DCC9EED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0DF9C8A9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2F054D18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</w:tc>
      </w:tr>
    </w:tbl>
    <w:p w14:paraId="149929B3" w14:textId="77777777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622E44CD" w14:textId="3ED2D116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>
        <w:rPr>
          <w:rFonts w:ascii="Arial" w:eastAsiaTheme="minorHAnsi" w:hAnsi="Arial" w:cs="Arial"/>
          <w:color w:val="222222"/>
          <w:sz w:val="20"/>
          <w:szCs w:val="20"/>
          <w:lang w:val="es-ES"/>
        </w:rPr>
        <w:t>6</w:t>
      </w:r>
      <w:r w:rsidRPr="00691151">
        <w:rPr>
          <w:rFonts w:ascii="Arial" w:eastAsiaTheme="minorHAnsi" w:hAnsi="Arial" w:cs="Arial"/>
          <w:color w:val="222222"/>
          <w:sz w:val="20"/>
          <w:szCs w:val="20"/>
          <w:lang w:val="es-ES"/>
        </w:rPr>
        <w:t>. ¿Qué características de los alimentos pueden ser mejoradas a partir de las aplicaciones</w:t>
      </w:r>
      <w:r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 biotecnológicas en </w:t>
      </w:r>
      <w:proofErr w:type="spellStart"/>
      <w:r w:rsidRPr="00691151">
        <w:rPr>
          <w:rFonts w:ascii="Arial" w:eastAsiaTheme="minorHAnsi" w:hAnsi="Arial" w:cs="Arial"/>
          <w:color w:val="222222"/>
          <w:sz w:val="20"/>
          <w:szCs w:val="20"/>
          <w:lang w:val="es-ES"/>
        </w:rPr>
        <w:t>transgenia</w:t>
      </w:r>
      <w:proofErr w:type="spellEnd"/>
      <w:r w:rsidRPr="00691151">
        <w:rPr>
          <w:rFonts w:ascii="Arial" w:eastAsiaTheme="minorHAnsi" w:hAnsi="Arial" w:cs="Arial"/>
          <w:color w:val="222222"/>
          <w:sz w:val="20"/>
          <w:szCs w:val="20"/>
          <w:lang w:val="es-ES"/>
        </w:rPr>
        <w:t>?</w:t>
      </w:r>
    </w:p>
    <w:p w14:paraId="4BB94C10" w14:textId="77777777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91151" w14:paraId="73BFDE3F" w14:textId="77777777" w:rsidTr="00691151">
        <w:tc>
          <w:tcPr>
            <w:tcW w:w="10752" w:type="dxa"/>
          </w:tcPr>
          <w:p w14:paraId="22BE0BA1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6FD0D2F6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393A1F67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05D38BF6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1FAD122B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4E35746A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</w:tc>
      </w:tr>
    </w:tbl>
    <w:p w14:paraId="1EA7D5E2" w14:textId="77777777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6FF8C066" w14:textId="3B2A94C3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>
        <w:rPr>
          <w:rFonts w:ascii="Arial" w:eastAsiaTheme="minorHAnsi" w:hAnsi="Arial" w:cs="Arial"/>
          <w:color w:val="222222"/>
          <w:sz w:val="20"/>
          <w:szCs w:val="20"/>
          <w:lang w:val="es-ES"/>
        </w:rPr>
        <w:t>7</w:t>
      </w:r>
      <w:r w:rsidRPr="00691151">
        <w:rPr>
          <w:rFonts w:ascii="Arial" w:eastAsiaTheme="minorHAnsi" w:hAnsi="Arial" w:cs="Arial"/>
          <w:color w:val="222222"/>
          <w:sz w:val="20"/>
          <w:szCs w:val="20"/>
          <w:lang w:val="es-ES"/>
        </w:rPr>
        <w:t>. ¿Qué beneficios y limitaciones presentan los productos transgénicos?</w:t>
      </w:r>
    </w:p>
    <w:p w14:paraId="4D9EBF22" w14:textId="77777777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91151" w14:paraId="23545921" w14:textId="77777777" w:rsidTr="00691151">
        <w:tc>
          <w:tcPr>
            <w:tcW w:w="10752" w:type="dxa"/>
          </w:tcPr>
          <w:p w14:paraId="75EC12BD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7C97CEFF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66ED1408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30265970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4A41F20E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  <w:p w14:paraId="29685A13" w14:textId="77777777" w:rsidR="00691151" w:rsidRDefault="00691151" w:rsidP="0069115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0"/>
                <w:szCs w:val="20"/>
                <w:lang w:val="es-ES"/>
              </w:rPr>
            </w:pPr>
          </w:p>
        </w:tc>
      </w:tr>
    </w:tbl>
    <w:p w14:paraId="5E174814" w14:textId="77777777" w:rsid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7C2A5447" w14:textId="0435CC45" w:rsidR="00691151" w:rsidRPr="00691151" w:rsidRDefault="00691151" w:rsidP="0069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>
        <w:rPr>
          <w:rFonts w:ascii="Arial" w:eastAsiaTheme="minorHAnsi" w:hAnsi="Arial" w:cs="Arial"/>
          <w:color w:val="222222"/>
          <w:sz w:val="20"/>
          <w:szCs w:val="20"/>
          <w:lang w:val="es-ES"/>
        </w:rPr>
        <w:t>8</w:t>
      </w:r>
      <w:r w:rsidRPr="00691151">
        <w:rPr>
          <w:rFonts w:ascii="Arial" w:eastAsiaTheme="minorHAnsi" w:hAnsi="Arial" w:cs="Arial"/>
          <w:color w:val="222222"/>
          <w:sz w:val="20"/>
          <w:szCs w:val="20"/>
          <w:lang w:val="es-ES"/>
        </w:rPr>
        <w:t>. ¿Qué implicancias éticas, sociales, económicas y ambientales surgen de la producción de</w:t>
      </w:r>
      <w:r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 </w:t>
      </w:r>
      <w:r w:rsidRPr="00691151">
        <w:rPr>
          <w:rFonts w:ascii="Arial" w:eastAsiaTheme="minorHAnsi" w:hAnsi="Arial" w:cs="Arial"/>
          <w:color w:val="222222"/>
          <w:sz w:val="20"/>
          <w:szCs w:val="20"/>
          <w:lang w:val="es-ES"/>
        </w:rPr>
        <w:t>alimentos transgénicos a nivel nacional e internacional?</w:t>
      </w:r>
    </w:p>
    <w:p w14:paraId="224B65E6" w14:textId="77777777" w:rsidR="00691151" w:rsidRDefault="00691151" w:rsidP="00691151">
      <w:pPr>
        <w:spacing w:after="0"/>
        <w:contextualSpacing/>
        <w:rPr>
          <w:rFonts w:asciiTheme="minorHAnsi" w:eastAsiaTheme="minorHAnsi" w:hAnsiTheme="minorHAnsi" w:cstheme="minorBid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91151" w14:paraId="13787A70" w14:textId="77777777" w:rsidTr="00691151">
        <w:tc>
          <w:tcPr>
            <w:tcW w:w="10752" w:type="dxa"/>
          </w:tcPr>
          <w:p w14:paraId="0FFDDC8D" w14:textId="77777777" w:rsidR="00691151" w:rsidRDefault="00691151" w:rsidP="00691151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1902DA1A" w14:textId="77777777" w:rsidR="00691151" w:rsidRDefault="00691151" w:rsidP="00691151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1D75D8DC" w14:textId="77777777" w:rsidR="00691151" w:rsidRDefault="00691151" w:rsidP="00691151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4D0D395A" w14:textId="77777777" w:rsidR="00691151" w:rsidRDefault="00691151" w:rsidP="00691151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0F5E0BD6" w14:textId="77777777" w:rsidR="00691151" w:rsidRDefault="00691151" w:rsidP="00691151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6E8C3274" w14:textId="77777777" w:rsidR="00691151" w:rsidRDefault="00691151" w:rsidP="00691151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EEA34A2" w14:textId="77777777" w:rsidR="00691151" w:rsidRDefault="00691151" w:rsidP="00691151">
      <w:pPr>
        <w:spacing w:after="0"/>
        <w:contextualSpacing/>
        <w:rPr>
          <w:rFonts w:asciiTheme="minorHAnsi" w:eastAsiaTheme="minorHAnsi" w:hAnsiTheme="minorHAnsi" w:cstheme="minorBidi"/>
        </w:rPr>
      </w:pPr>
    </w:p>
    <w:sectPr w:rsidR="00691151" w:rsidSect="00E94C7F">
      <w:headerReference w:type="default" r:id="rId11"/>
      <w:pgSz w:w="12240" w:h="15840" w:code="1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A0345" w14:textId="77777777" w:rsidR="00395274" w:rsidRDefault="00395274" w:rsidP="00CB2B0A">
      <w:pPr>
        <w:spacing w:after="0" w:line="240" w:lineRule="auto"/>
      </w:pPr>
      <w:r>
        <w:separator/>
      </w:r>
    </w:p>
  </w:endnote>
  <w:endnote w:type="continuationSeparator" w:id="0">
    <w:p w14:paraId="2DFB92BB" w14:textId="77777777" w:rsidR="00395274" w:rsidRDefault="00395274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7CF1D" w14:textId="77777777" w:rsidR="00395274" w:rsidRDefault="00395274" w:rsidP="00CB2B0A">
      <w:pPr>
        <w:spacing w:after="0" w:line="240" w:lineRule="auto"/>
      </w:pPr>
      <w:r>
        <w:separator/>
      </w:r>
    </w:p>
  </w:footnote>
  <w:footnote w:type="continuationSeparator" w:id="0">
    <w:p w14:paraId="176E35A6" w14:textId="77777777" w:rsidR="00395274" w:rsidRDefault="00395274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71AC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86DBA94" wp14:editId="049B9D2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562D945F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2DA1E5E4" w14:textId="77777777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C47631">
      <w:rPr>
        <w:rFonts w:ascii="Century Gothic" w:hAnsi="Century Gothic"/>
        <w:noProof/>
        <w:sz w:val="18"/>
        <w:szCs w:val="18"/>
        <w:lang w:eastAsia="es-ES_tradnl"/>
      </w:rPr>
      <w:t>Ciencias</w:t>
    </w:r>
  </w:p>
  <w:p w14:paraId="36FD37EA" w14:textId="77777777" w:rsidR="009B2C1A" w:rsidRPr="00290DA4" w:rsidRDefault="00C47631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Docente: Carolina Silva</w:t>
    </w:r>
  </w:p>
  <w:p w14:paraId="2B56EEEA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411857DB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DEF4605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34F"/>
    <w:multiLevelType w:val="hybridMultilevel"/>
    <w:tmpl w:val="4EB01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6B86"/>
    <w:multiLevelType w:val="hybridMultilevel"/>
    <w:tmpl w:val="75D0424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D2B83"/>
    <w:multiLevelType w:val="hybridMultilevel"/>
    <w:tmpl w:val="0D2A570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F433A"/>
    <w:multiLevelType w:val="hybridMultilevel"/>
    <w:tmpl w:val="B6E64D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77C82"/>
    <w:multiLevelType w:val="multilevel"/>
    <w:tmpl w:val="ACE6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B44E0"/>
    <w:multiLevelType w:val="multilevel"/>
    <w:tmpl w:val="F33A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56678"/>
    <w:multiLevelType w:val="hybridMultilevel"/>
    <w:tmpl w:val="EE421C88"/>
    <w:lvl w:ilvl="0" w:tplc="E7E27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6317E"/>
    <w:multiLevelType w:val="hybridMultilevel"/>
    <w:tmpl w:val="C0A63F8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F10B9"/>
    <w:multiLevelType w:val="hybridMultilevel"/>
    <w:tmpl w:val="D5B05B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282F"/>
    <w:multiLevelType w:val="hybridMultilevel"/>
    <w:tmpl w:val="BBC2AC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57A07"/>
    <w:multiLevelType w:val="hybridMultilevel"/>
    <w:tmpl w:val="F9D62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64A70"/>
    <w:multiLevelType w:val="hybridMultilevel"/>
    <w:tmpl w:val="CFBE26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92169"/>
    <w:multiLevelType w:val="hybridMultilevel"/>
    <w:tmpl w:val="FCDE6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C4CE3"/>
    <w:multiLevelType w:val="hybridMultilevel"/>
    <w:tmpl w:val="CABC1BD4"/>
    <w:lvl w:ilvl="0" w:tplc="8FA2C0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94568"/>
    <w:multiLevelType w:val="hybridMultilevel"/>
    <w:tmpl w:val="E18665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B66F1"/>
    <w:multiLevelType w:val="hybridMultilevel"/>
    <w:tmpl w:val="C2D4A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12810"/>
    <w:multiLevelType w:val="hybridMultilevel"/>
    <w:tmpl w:val="0C82122C"/>
    <w:lvl w:ilvl="0" w:tplc="5CA2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02848"/>
    <w:multiLevelType w:val="hybridMultilevel"/>
    <w:tmpl w:val="E708B330"/>
    <w:lvl w:ilvl="0" w:tplc="E888316E">
      <w:start w:val="1"/>
      <w:numFmt w:val="decimal"/>
      <w:lvlText w:val="%1."/>
      <w:lvlJc w:val="left"/>
      <w:pPr>
        <w:ind w:left="1288" w:hanging="72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7AE4"/>
    <w:multiLevelType w:val="hybridMultilevel"/>
    <w:tmpl w:val="9CD4E01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C0C0B"/>
    <w:multiLevelType w:val="hybridMultilevel"/>
    <w:tmpl w:val="BC1C2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949B3"/>
    <w:multiLevelType w:val="hybridMultilevel"/>
    <w:tmpl w:val="1FD828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04865"/>
    <w:multiLevelType w:val="hybridMultilevel"/>
    <w:tmpl w:val="CF245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01467"/>
    <w:multiLevelType w:val="hybridMultilevel"/>
    <w:tmpl w:val="ACC6C8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42D01"/>
    <w:multiLevelType w:val="hybridMultilevel"/>
    <w:tmpl w:val="6E5A0CB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76A84"/>
    <w:multiLevelType w:val="hybridMultilevel"/>
    <w:tmpl w:val="1DC446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574B"/>
    <w:multiLevelType w:val="multilevel"/>
    <w:tmpl w:val="3846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2B0168"/>
    <w:multiLevelType w:val="hybridMultilevel"/>
    <w:tmpl w:val="949A5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F6E74"/>
    <w:multiLevelType w:val="hybridMultilevel"/>
    <w:tmpl w:val="71BEE15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56EE7"/>
    <w:multiLevelType w:val="hybridMultilevel"/>
    <w:tmpl w:val="84BE08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862F5"/>
    <w:multiLevelType w:val="hybridMultilevel"/>
    <w:tmpl w:val="1A72CA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17703"/>
    <w:multiLevelType w:val="hybridMultilevel"/>
    <w:tmpl w:val="1DC446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9"/>
  </w:num>
  <w:num w:numId="5">
    <w:abstractNumId w:val="24"/>
  </w:num>
  <w:num w:numId="6">
    <w:abstractNumId w:val="39"/>
  </w:num>
  <w:num w:numId="7">
    <w:abstractNumId w:val="11"/>
  </w:num>
  <w:num w:numId="8">
    <w:abstractNumId w:val="3"/>
  </w:num>
  <w:num w:numId="9">
    <w:abstractNumId w:val="32"/>
  </w:num>
  <w:num w:numId="10">
    <w:abstractNumId w:val="15"/>
  </w:num>
  <w:num w:numId="11">
    <w:abstractNumId w:val="18"/>
  </w:num>
  <w:num w:numId="12">
    <w:abstractNumId w:val="23"/>
  </w:num>
  <w:num w:numId="13">
    <w:abstractNumId w:val="10"/>
  </w:num>
  <w:num w:numId="14">
    <w:abstractNumId w:val="5"/>
  </w:num>
  <w:num w:numId="15">
    <w:abstractNumId w:val="20"/>
  </w:num>
  <w:num w:numId="16">
    <w:abstractNumId w:val="31"/>
  </w:num>
  <w:num w:numId="17">
    <w:abstractNumId w:val="27"/>
  </w:num>
  <w:num w:numId="18">
    <w:abstractNumId w:val="35"/>
  </w:num>
  <w:num w:numId="19">
    <w:abstractNumId w:val="25"/>
  </w:num>
  <w:num w:numId="20">
    <w:abstractNumId w:val="30"/>
  </w:num>
  <w:num w:numId="21">
    <w:abstractNumId w:val="37"/>
  </w:num>
  <w:num w:numId="22">
    <w:abstractNumId w:val="12"/>
  </w:num>
  <w:num w:numId="23">
    <w:abstractNumId w:val="4"/>
  </w:num>
  <w:num w:numId="24">
    <w:abstractNumId w:val="29"/>
  </w:num>
  <w:num w:numId="25">
    <w:abstractNumId w:val="38"/>
  </w:num>
  <w:num w:numId="26">
    <w:abstractNumId w:val="7"/>
  </w:num>
  <w:num w:numId="27">
    <w:abstractNumId w:val="17"/>
  </w:num>
  <w:num w:numId="28">
    <w:abstractNumId w:val="14"/>
  </w:num>
  <w:num w:numId="29">
    <w:abstractNumId w:val="13"/>
  </w:num>
  <w:num w:numId="30">
    <w:abstractNumId w:val="1"/>
  </w:num>
  <w:num w:numId="31">
    <w:abstractNumId w:val="2"/>
  </w:num>
  <w:num w:numId="32">
    <w:abstractNumId w:val="19"/>
  </w:num>
  <w:num w:numId="33">
    <w:abstractNumId w:val="21"/>
  </w:num>
  <w:num w:numId="34">
    <w:abstractNumId w:val="36"/>
  </w:num>
  <w:num w:numId="35">
    <w:abstractNumId w:val="16"/>
  </w:num>
  <w:num w:numId="36">
    <w:abstractNumId w:val="26"/>
  </w:num>
  <w:num w:numId="37">
    <w:abstractNumId w:val="8"/>
  </w:num>
  <w:num w:numId="38">
    <w:abstractNumId w:val="33"/>
  </w:num>
  <w:num w:numId="39">
    <w:abstractNumId w:val="3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413E"/>
    <w:rsid w:val="00034B49"/>
    <w:rsid w:val="00044543"/>
    <w:rsid w:val="0004660A"/>
    <w:rsid w:val="0005214B"/>
    <w:rsid w:val="00066442"/>
    <w:rsid w:val="00076FF7"/>
    <w:rsid w:val="00084910"/>
    <w:rsid w:val="000864A2"/>
    <w:rsid w:val="0009004D"/>
    <w:rsid w:val="000A5FC1"/>
    <w:rsid w:val="000B4330"/>
    <w:rsid w:val="000C4342"/>
    <w:rsid w:val="000D43CC"/>
    <w:rsid w:val="000D6F80"/>
    <w:rsid w:val="000E5866"/>
    <w:rsid w:val="000F127B"/>
    <w:rsid w:val="000F5077"/>
    <w:rsid w:val="000F54A7"/>
    <w:rsid w:val="00101880"/>
    <w:rsid w:val="0010403A"/>
    <w:rsid w:val="00115A4D"/>
    <w:rsid w:val="0012082E"/>
    <w:rsid w:val="0013248A"/>
    <w:rsid w:val="001351F2"/>
    <w:rsid w:val="00142937"/>
    <w:rsid w:val="00145DE6"/>
    <w:rsid w:val="001557AD"/>
    <w:rsid w:val="00163F70"/>
    <w:rsid w:val="00165BA3"/>
    <w:rsid w:val="00183EE6"/>
    <w:rsid w:val="001A0766"/>
    <w:rsid w:val="001A4742"/>
    <w:rsid w:val="001C3C4C"/>
    <w:rsid w:val="001C4BF9"/>
    <w:rsid w:val="001D08EB"/>
    <w:rsid w:val="001E6359"/>
    <w:rsid w:val="001F3CE3"/>
    <w:rsid w:val="00202E87"/>
    <w:rsid w:val="0023114E"/>
    <w:rsid w:val="002426DC"/>
    <w:rsid w:val="00242B7D"/>
    <w:rsid w:val="0025190F"/>
    <w:rsid w:val="00255841"/>
    <w:rsid w:val="00257475"/>
    <w:rsid w:val="00264C19"/>
    <w:rsid w:val="00273C58"/>
    <w:rsid w:val="002749AD"/>
    <w:rsid w:val="00275084"/>
    <w:rsid w:val="00284E28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3F64"/>
    <w:rsid w:val="00317ABE"/>
    <w:rsid w:val="00331397"/>
    <w:rsid w:val="0034690B"/>
    <w:rsid w:val="0035151E"/>
    <w:rsid w:val="0035289E"/>
    <w:rsid w:val="00353FED"/>
    <w:rsid w:val="003639BA"/>
    <w:rsid w:val="00363ADC"/>
    <w:rsid w:val="00372889"/>
    <w:rsid w:val="00377A1A"/>
    <w:rsid w:val="003833EB"/>
    <w:rsid w:val="0038548A"/>
    <w:rsid w:val="00395274"/>
    <w:rsid w:val="00395BFB"/>
    <w:rsid w:val="003A1F09"/>
    <w:rsid w:val="003B0C43"/>
    <w:rsid w:val="003B20ED"/>
    <w:rsid w:val="003C69BE"/>
    <w:rsid w:val="003D3976"/>
    <w:rsid w:val="003E24E9"/>
    <w:rsid w:val="003F18A7"/>
    <w:rsid w:val="003F6D2C"/>
    <w:rsid w:val="00400141"/>
    <w:rsid w:val="00400F23"/>
    <w:rsid w:val="0040138F"/>
    <w:rsid w:val="00403693"/>
    <w:rsid w:val="00403C23"/>
    <w:rsid w:val="0040777C"/>
    <w:rsid w:val="00415062"/>
    <w:rsid w:val="00421FE6"/>
    <w:rsid w:val="00423674"/>
    <w:rsid w:val="00445079"/>
    <w:rsid w:val="00471EEC"/>
    <w:rsid w:val="004759EB"/>
    <w:rsid w:val="00480AD1"/>
    <w:rsid w:val="004A319A"/>
    <w:rsid w:val="004A35D7"/>
    <w:rsid w:val="004B44F6"/>
    <w:rsid w:val="004B7D1B"/>
    <w:rsid w:val="004C4774"/>
    <w:rsid w:val="004C7C74"/>
    <w:rsid w:val="004D0E8C"/>
    <w:rsid w:val="004D5C3E"/>
    <w:rsid w:val="004D663B"/>
    <w:rsid w:val="004D6FBD"/>
    <w:rsid w:val="004F2168"/>
    <w:rsid w:val="004F28C4"/>
    <w:rsid w:val="004F7140"/>
    <w:rsid w:val="00501846"/>
    <w:rsid w:val="00504766"/>
    <w:rsid w:val="00505295"/>
    <w:rsid w:val="005117AF"/>
    <w:rsid w:val="005137D3"/>
    <w:rsid w:val="00515B8D"/>
    <w:rsid w:val="00517A20"/>
    <w:rsid w:val="005301CF"/>
    <w:rsid w:val="00547529"/>
    <w:rsid w:val="0055048D"/>
    <w:rsid w:val="00563485"/>
    <w:rsid w:val="00572236"/>
    <w:rsid w:val="00580A22"/>
    <w:rsid w:val="00581897"/>
    <w:rsid w:val="005827BE"/>
    <w:rsid w:val="00582C93"/>
    <w:rsid w:val="00592F06"/>
    <w:rsid w:val="005A76BD"/>
    <w:rsid w:val="005A77C5"/>
    <w:rsid w:val="005C3816"/>
    <w:rsid w:val="005C566F"/>
    <w:rsid w:val="005C64CC"/>
    <w:rsid w:val="005D0918"/>
    <w:rsid w:val="005E2B60"/>
    <w:rsid w:val="005E5909"/>
    <w:rsid w:val="005F281F"/>
    <w:rsid w:val="005F29E0"/>
    <w:rsid w:val="006034A1"/>
    <w:rsid w:val="006369D0"/>
    <w:rsid w:val="006422ED"/>
    <w:rsid w:val="00652B0B"/>
    <w:rsid w:val="00654AAA"/>
    <w:rsid w:val="00657DCE"/>
    <w:rsid w:val="00677345"/>
    <w:rsid w:val="00682A97"/>
    <w:rsid w:val="00685F04"/>
    <w:rsid w:val="00691151"/>
    <w:rsid w:val="00691431"/>
    <w:rsid w:val="006A331C"/>
    <w:rsid w:val="006B5B69"/>
    <w:rsid w:val="006C078D"/>
    <w:rsid w:val="006C33CE"/>
    <w:rsid w:val="006C40CD"/>
    <w:rsid w:val="006D52E4"/>
    <w:rsid w:val="006D7233"/>
    <w:rsid w:val="006E3028"/>
    <w:rsid w:val="006F2349"/>
    <w:rsid w:val="006F243E"/>
    <w:rsid w:val="006F37AE"/>
    <w:rsid w:val="00701E97"/>
    <w:rsid w:val="00713FB1"/>
    <w:rsid w:val="00720911"/>
    <w:rsid w:val="007266ED"/>
    <w:rsid w:val="00730AD0"/>
    <w:rsid w:val="0073640E"/>
    <w:rsid w:val="00736DAC"/>
    <w:rsid w:val="007461B2"/>
    <w:rsid w:val="00752B51"/>
    <w:rsid w:val="00754055"/>
    <w:rsid w:val="0075733A"/>
    <w:rsid w:val="0076508A"/>
    <w:rsid w:val="007650BD"/>
    <w:rsid w:val="007708CC"/>
    <w:rsid w:val="0077754E"/>
    <w:rsid w:val="0078494B"/>
    <w:rsid w:val="007B119E"/>
    <w:rsid w:val="007B238D"/>
    <w:rsid w:val="007B3E70"/>
    <w:rsid w:val="007B656A"/>
    <w:rsid w:val="007C4E4F"/>
    <w:rsid w:val="007C5FB2"/>
    <w:rsid w:val="007E2274"/>
    <w:rsid w:val="007E50F6"/>
    <w:rsid w:val="00801929"/>
    <w:rsid w:val="00807B67"/>
    <w:rsid w:val="00811247"/>
    <w:rsid w:val="0081321F"/>
    <w:rsid w:val="00824038"/>
    <w:rsid w:val="00827A58"/>
    <w:rsid w:val="00827B7C"/>
    <w:rsid w:val="00837A98"/>
    <w:rsid w:val="00853ECE"/>
    <w:rsid w:val="00867911"/>
    <w:rsid w:val="00881F56"/>
    <w:rsid w:val="008864BC"/>
    <w:rsid w:val="008A5AF8"/>
    <w:rsid w:val="008A6775"/>
    <w:rsid w:val="008A7821"/>
    <w:rsid w:val="008A7AFF"/>
    <w:rsid w:val="008B06BD"/>
    <w:rsid w:val="008B0BAC"/>
    <w:rsid w:val="008C4347"/>
    <w:rsid w:val="008D2B7F"/>
    <w:rsid w:val="008D2D8D"/>
    <w:rsid w:val="008D3B57"/>
    <w:rsid w:val="008E508C"/>
    <w:rsid w:val="008F198C"/>
    <w:rsid w:val="008F5779"/>
    <w:rsid w:val="008F6426"/>
    <w:rsid w:val="008F7751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50CC8"/>
    <w:rsid w:val="009602C6"/>
    <w:rsid w:val="009761F6"/>
    <w:rsid w:val="00977EEC"/>
    <w:rsid w:val="00982137"/>
    <w:rsid w:val="00983194"/>
    <w:rsid w:val="0099478E"/>
    <w:rsid w:val="009A0B9C"/>
    <w:rsid w:val="009A1CBC"/>
    <w:rsid w:val="009A310B"/>
    <w:rsid w:val="009A64C6"/>
    <w:rsid w:val="009B02DB"/>
    <w:rsid w:val="009B2BE1"/>
    <w:rsid w:val="009B2C1A"/>
    <w:rsid w:val="009B6781"/>
    <w:rsid w:val="009B6ADB"/>
    <w:rsid w:val="009C2F84"/>
    <w:rsid w:val="009C46B8"/>
    <w:rsid w:val="009C7B25"/>
    <w:rsid w:val="009D757C"/>
    <w:rsid w:val="009E36FC"/>
    <w:rsid w:val="009E5819"/>
    <w:rsid w:val="009F7984"/>
    <w:rsid w:val="00A01671"/>
    <w:rsid w:val="00A1147D"/>
    <w:rsid w:val="00A129D3"/>
    <w:rsid w:val="00A12A63"/>
    <w:rsid w:val="00A148ED"/>
    <w:rsid w:val="00A152FE"/>
    <w:rsid w:val="00A202EA"/>
    <w:rsid w:val="00A21324"/>
    <w:rsid w:val="00A26DC3"/>
    <w:rsid w:val="00A36DC7"/>
    <w:rsid w:val="00A4011B"/>
    <w:rsid w:val="00A41341"/>
    <w:rsid w:val="00A502F8"/>
    <w:rsid w:val="00A76B0E"/>
    <w:rsid w:val="00A87BCE"/>
    <w:rsid w:val="00A90C7B"/>
    <w:rsid w:val="00A975C5"/>
    <w:rsid w:val="00AA508C"/>
    <w:rsid w:val="00AB0BE9"/>
    <w:rsid w:val="00AB3FA3"/>
    <w:rsid w:val="00AC34B0"/>
    <w:rsid w:val="00AE595E"/>
    <w:rsid w:val="00AE64F7"/>
    <w:rsid w:val="00B001C6"/>
    <w:rsid w:val="00B008A9"/>
    <w:rsid w:val="00B13FDC"/>
    <w:rsid w:val="00B16EE7"/>
    <w:rsid w:val="00B2195E"/>
    <w:rsid w:val="00B22419"/>
    <w:rsid w:val="00B2277E"/>
    <w:rsid w:val="00B2489C"/>
    <w:rsid w:val="00B31DC3"/>
    <w:rsid w:val="00B34585"/>
    <w:rsid w:val="00B3734B"/>
    <w:rsid w:val="00B37909"/>
    <w:rsid w:val="00B37EE1"/>
    <w:rsid w:val="00B54BB3"/>
    <w:rsid w:val="00B57B43"/>
    <w:rsid w:val="00B6054F"/>
    <w:rsid w:val="00B66045"/>
    <w:rsid w:val="00B70BC9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0216"/>
    <w:rsid w:val="00BE7F1E"/>
    <w:rsid w:val="00BF1846"/>
    <w:rsid w:val="00BF1D00"/>
    <w:rsid w:val="00C007CD"/>
    <w:rsid w:val="00C34AE9"/>
    <w:rsid w:val="00C40983"/>
    <w:rsid w:val="00C42510"/>
    <w:rsid w:val="00C459F9"/>
    <w:rsid w:val="00C47631"/>
    <w:rsid w:val="00C61175"/>
    <w:rsid w:val="00C7280A"/>
    <w:rsid w:val="00C742EE"/>
    <w:rsid w:val="00C74B5B"/>
    <w:rsid w:val="00C75DA6"/>
    <w:rsid w:val="00C817B6"/>
    <w:rsid w:val="00C83764"/>
    <w:rsid w:val="00C95034"/>
    <w:rsid w:val="00CA5C8A"/>
    <w:rsid w:val="00CB2892"/>
    <w:rsid w:val="00CB2B0A"/>
    <w:rsid w:val="00CC72BB"/>
    <w:rsid w:val="00CD11AE"/>
    <w:rsid w:val="00CE0D8B"/>
    <w:rsid w:val="00CE290C"/>
    <w:rsid w:val="00CE3FD8"/>
    <w:rsid w:val="00D06E61"/>
    <w:rsid w:val="00D15A43"/>
    <w:rsid w:val="00D22B30"/>
    <w:rsid w:val="00D30890"/>
    <w:rsid w:val="00D338AF"/>
    <w:rsid w:val="00D350A8"/>
    <w:rsid w:val="00D559EB"/>
    <w:rsid w:val="00D7742E"/>
    <w:rsid w:val="00D778E3"/>
    <w:rsid w:val="00D866DA"/>
    <w:rsid w:val="00D9616F"/>
    <w:rsid w:val="00DA4594"/>
    <w:rsid w:val="00DB1D6C"/>
    <w:rsid w:val="00DE1CF3"/>
    <w:rsid w:val="00DF61D4"/>
    <w:rsid w:val="00DF6E69"/>
    <w:rsid w:val="00E00E80"/>
    <w:rsid w:val="00E01AEF"/>
    <w:rsid w:val="00E1659B"/>
    <w:rsid w:val="00E33067"/>
    <w:rsid w:val="00E34008"/>
    <w:rsid w:val="00E36FAB"/>
    <w:rsid w:val="00E427C6"/>
    <w:rsid w:val="00E474AF"/>
    <w:rsid w:val="00E54BDE"/>
    <w:rsid w:val="00E5602C"/>
    <w:rsid w:val="00E7404F"/>
    <w:rsid w:val="00E762EA"/>
    <w:rsid w:val="00E906D8"/>
    <w:rsid w:val="00E93E10"/>
    <w:rsid w:val="00E94C7F"/>
    <w:rsid w:val="00EB65FC"/>
    <w:rsid w:val="00EC27B3"/>
    <w:rsid w:val="00EC6B64"/>
    <w:rsid w:val="00EF6798"/>
    <w:rsid w:val="00EF7004"/>
    <w:rsid w:val="00F02696"/>
    <w:rsid w:val="00F04BEB"/>
    <w:rsid w:val="00F23248"/>
    <w:rsid w:val="00F25940"/>
    <w:rsid w:val="00F4018C"/>
    <w:rsid w:val="00F43020"/>
    <w:rsid w:val="00F51934"/>
    <w:rsid w:val="00F5200F"/>
    <w:rsid w:val="00F61BA5"/>
    <w:rsid w:val="00F63A19"/>
    <w:rsid w:val="00F662B1"/>
    <w:rsid w:val="00F663FF"/>
    <w:rsid w:val="00F73FC7"/>
    <w:rsid w:val="00F77524"/>
    <w:rsid w:val="00F84604"/>
    <w:rsid w:val="00FB1A15"/>
    <w:rsid w:val="00FB2575"/>
    <w:rsid w:val="00FB31A3"/>
    <w:rsid w:val="00FC1A48"/>
    <w:rsid w:val="00FC4761"/>
    <w:rsid w:val="00FC594F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FA076F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400141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0014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3734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3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C7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00141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00141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customStyle="1" w:styleId="mds-paragraph">
    <w:name w:val="mds-paragraph"/>
    <w:basedOn w:val="Normal"/>
    <w:rsid w:val="004001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0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8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7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84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2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00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5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87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silva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hilebio.cl/wp-content/uploads/2016/03/aspectos-destacados-de-los-cultivos-transgenicos-en-201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0JajGQ00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4940-60B6-4E7E-843C-4B7B5063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2020-05-06T17:12:00Z</dcterms:created>
  <dcterms:modified xsi:type="dcterms:W3CDTF">2020-05-06T17:12:00Z</dcterms:modified>
  <cp:category>UTP</cp:category>
  <cp:contentStatus>UTP</cp:contentStatus>
</cp:coreProperties>
</file>